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CellSpacing w:w="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1"/>
        <w:gridCol w:w="4286"/>
        <w:gridCol w:w="1584"/>
        <w:gridCol w:w="1442"/>
        <w:gridCol w:w="1567"/>
      </w:tblGrid>
      <w:tr w:rsidR="00EE13E5" w:rsidRPr="00EE13E5" w14:paraId="126D54B2" w14:textId="77777777" w:rsidTr="00EE13E5">
        <w:trPr>
          <w:tblHeader/>
          <w:tblCellSpacing w:w="15" w:type="dxa"/>
        </w:trPr>
        <w:tc>
          <w:tcPr>
            <w:tcW w:w="1533" w:type="dxa"/>
            <w:vAlign w:val="center"/>
            <w:hideMark/>
          </w:tcPr>
          <w:p w14:paraId="244A8B9F" w14:textId="77777777" w:rsidR="00EE13E5" w:rsidRPr="00EE13E5" w:rsidRDefault="00EE13E5" w:rsidP="00EE13E5">
            <w:pPr>
              <w:rPr>
                <w:b/>
                <w:bCs/>
              </w:rPr>
            </w:pPr>
            <w:r w:rsidRPr="00EE13E5">
              <w:rPr>
                <w:b/>
                <w:bCs/>
              </w:rPr>
              <w:t>Etap</w:t>
            </w:r>
          </w:p>
        </w:tc>
        <w:tc>
          <w:tcPr>
            <w:tcW w:w="4289" w:type="dxa"/>
            <w:vAlign w:val="center"/>
            <w:hideMark/>
          </w:tcPr>
          <w:p w14:paraId="5ADB2628" w14:textId="77777777" w:rsidR="00EE13E5" w:rsidRPr="00EE13E5" w:rsidRDefault="00EE13E5" w:rsidP="00EE13E5">
            <w:pPr>
              <w:rPr>
                <w:b/>
                <w:bCs/>
              </w:rPr>
            </w:pPr>
            <w:r w:rsidRPr="00EE13E5">
              <w:rPr>
                <w:b/>
                <w:bCs/>
              </w:rPr>
              <w:t>Zakres prac</w:t>
            </w:r>
          </w:p>
        </w:tc>
        <w:tc>
          <w:tcPr>
            <w:tcW w:w="1554" w:type="dxa"/>
            <w:vAlign w:val="center"/>
            <w:hideMark/>
          </w:tcPr>
          <w:p w14:paraId="2453ACBE" w14:textId="77777777" w:rsidR="00EE13E5" w:rsidRPr="00EE13E5" w:rsidRDefault="00EE13E5" w:rsidP="00EE13E5">
            <w:pPr>
              <w:rPr>
                <w:b/>
                <w:bCs/>
              </w:rPr>
            </w:pPr>
            <w:r w:rsidRPr="00EE13E5">
              <w:rPr>
                <w:b/>
                <w:bCs/>
              </w:rPr>
              <w:t>% wynagrodzenia</w:t>
            </w:r>
          </w:p>
        </w:tc>
        <w:tc>
          <w:tcPr>
            <w:tcW w:w="1412" w:type="dxa"/>
            <w:vAlign w:val="center"/>
            <w:hideMark/>
          </w:tcPr>
          <w:p w14:paraId="3916B131" w14:textId="77777777" w:rsidR="00EE13E5" w:rsidRPr="00EE13E5" w:rsidRDefault="00EE13E5" w:rsidP="00EE13E5">
            <w:pPr>
              <w:rPr>
                <w:b/>
                <w:bCs/>
              </w:rPr>
            </w:pPr>
            <w:r w:rsidRPr="00EE13E5">
              <w:rPr>
                <w:b/>
                <w:bCs/>
              </w:rPr>
              <w:t>Moment płatności</w:t>
            </w:r>
          </w:p>
        </w:tc>
        <w:tc>
          <w:tcPr>
            <w:tcW w:w="1522" w:type="dxa"/>
            <w:vAlign w:val="center"/>
            <w:hideMark/>
          </w:tcPr>
          <w:p w14:paraId="3698792C" w14:textId="77777777" w:rsidR="00EE13E5" w:rsidRPr="00EE13E5" w:rsidRDefault="00EE13E5" w:rsidP="00EE13E5">
            <w:pPr>
              <w:rPr>
                <w:b/>
                <w:bCs/>
              </w:rPr>
            </w:pPr>
            <w:r w:rsidRPr="00EE13E5">
              <w:rPr>
                <w:b/>
                <w:bCs/>
              </w:rPr>
              <w:t>Produkty końcowe</w:t>
            </w:r>
          </w:p>
        </w:tc>
      </w:tr>
      <w:tr w:rsidR="00EE13E5" w:rsidRPr="00EE13E5" w14:paraId="120EDD7A" w14:textId="77777777" w:rsidTr="00EE13E5">
        <w:trPr>
          <w:tblCellSpacing w:w="15" w:type="dxa"/>
        </w:trPr>
        <w:tc>
          <w:tcPr>
            <w:tcW w:w="1533" w:type="dxa"/>
            <w:vAlign w:val="center"/>
            <w:hideMark/>
          </w:tcPr>
          <w:p w14:paraId="0756DDA0" w14:textId="77777777" w:rsidR="00EE13E5" w:rsidRPr="00EE13E5" w:rsidRDefault="00EE13E5" w:rsidP="00EE13E5">
            <w:r w:rsidRPr="00EE13E5">
              <w:rPr>
                <w:b/>
                <w:bCs/>
              </w:rPr>
              <w:t>1. Badania, inwentaryzacje i rozpoznanie stanu technicznego (Zad. 1–4)</w:t>
            </w:r>
          </w:p>
        </w:tc>
        <w:tc>
          <w:tcPr>
            <w:tcW w:w="4289" w:type="dxa"/>
            <w:vAlign w:val="center"/>
            <w:hideMark/>
          </w:tcPr>
          <w:p w14:paraId="46CFC8C7" w14:textId="77777777" w:rsidR="00EE13E5" w:rsidRDefault="00EE13E5" w:rsidP="00EE13E5">
            <w:r w:rsidRPr="00EE13E5">
              <w:t xml:space="preserve">• Wizje lokalne wszystkich obiektów </w:t>
            </w:r>
          </w:p>
          <w:p w14:paraId="02D32A74" w14:textId="77777777" w:rsidR="00EE13E5" w:rsidRDefault="00EE13E5" w:rsidP="00EE13E5">
            <w:r w:rsidRPr="00EE13E5">
              <w:t xml:space="preserve">• Inwentaryzacja techniczna nabrzeży (nad- i podwodna) </w:t>
            </w:r>
          </w:p>
          <w:p w14:paraId="62374077" w14:textId="77777777" w:rsidR="00EE13E5" w:rsidRDefault="00EE13E5" w:rsidP="00EE13E5">
            <w:r w:rsidRPr="00EE13E5">
              <w:t xml:space="preserve">• Badania geotechniczne i gruntowo–wodne • Badania podwodne konstrukcji hydrotechnicznych </w:t>
            </w:r>
          </w:p>
          <w:p w14:paraId="2CA7C201" w14:textId="77777777" w:rsidR="00EE13E5" w:rsidRDefault="00EE13E5" w:rsidP="00EE13E5">
            <w:r w:rsidRPr="00EE13E5">
              <w:t xml:space="preserve">• Wstępna ocena stanu technicznego </w:t>
            </w:r>
          </w:p>
          <w:p w14:paraId="2A80F601" w14:textId="7CB0FB5B" w:rsidR="00EE13E5" w:rsidRPr="00EE13E5" w:rsidRDefault="00EE13E5" w:rsidP="00EE13E5">
            <w:r w:rsidRPr="00EE13E5">
              <w:t>• Analiza dokumentacji wyjściowej</w:t>
            </w:r>
          </w:p>
        </w:tc>
        <w:tc>
          <w:tcPr>
            <w:tcW w:w="1554" w:type="dxa"/>
            <w:vAlign w:val="center"/>
            <w:hideMark/>
          </w:tcPr>
          <w:p w14:paraId="306A44A7" w14:textId="77777777" w:rsidR="00EE13E5" w:rsidRPr="00EE13E5" w:rsidRDefault="00EE13E5" w:rsidP="00EE13E5">
            <w:pPr>
              <w:jc w:val="center"/>
            </w:pPr>
            <w:r w:rsidRPr="00EE13E5">
              <w:rPr>
                <w:b/>
                <w:bCs/>
              </w:rPr>
              <w:t>25%</w:t>
            </w:r>
          </w:p>
        </w:tc>
        <w:tc>
          <w:tcPr>
            <w:tcW w:w="1412" w:type="dxa"/>
            <w:vAlign w:val="center"/>
            <w:hideMark/>
          </w:tcPr>
          <w:p w14:paraId="77D88EA9" w14:textId="77777777" w:rsidR="00EE13E5" w:rsidRPr="00EE13E5" w:rsidRDefault="00EE13E5" w:rsidP="00EE13E5">
            <w:r w:rsidRPr="00EE13E5">
              <w:t>Po odbiorze raportów z badań i inwentaryzacji</w:t>
            </w:r>
          </w:p>
        </w:tc>
        <w:tc>
          <w:tcPr>
            <w:tcW w:w="1522" w:type="dxa"/>
            <w:vAlign w:val="center"/>
            <w:hideMark/>
          </w:tcPr>
          <w:p w14:paraId="49E5DAFC" w14:textId="77777777" w:rsidR="00EE13E5" w:rsidRPr="00EE13E5" w:rsidRDefault="00EE13E5" w:rsidP="00EE13E5">
            <w:r w:rsidRPr="00EE13E5">
              <w:t>Raporty z badań, inwentaryzacje techniczne, protokoły wstępnej oceny</w:t>
            </w:r>
          </w:p>
        </w:tc>
      </w:tr>
      <w:tr w:rsidR="00EE13E5" w:rsidRPr="00EE13E5" w14:paraId="7D71D5F3" w14:textId="77777777" w:rsidTr="00EE13E5">
        <w:trPr>
          <w:tblCellSpacing w:w="15" w:type="dxa"/>
        </w:trPr>
        <w:tc>
          <w:tcPr>
            <w:tcW w:w="1533" w:type="dxa"/>
            <w:vAlign w:val="center"/>
            <w:hideMark/>
          </w:tcPr>
          <w:p w14:paraId="5F534252" w14:textId="77777777" w:rsidR="00EE13E5" w:rsidRPr="00EE13E5" w:rsidRDefault="00EE13E5" w:rsidP="00EE13E5">
            <w:r w:rsidRPr="00EE13E5">
              <w:rPr>
                <w:b/>
                <w:bCs/>
              </w:rPr>
              <w:t>2. Ekspertyzy techniczne i oceny stanu technicznego (Zad. 1 i 2)</w:t>
            </w:r>
          </w:p>
        </w:tc>
        <w:tc>
          <w:tcPr>
            <w:tcW w:w="4289" w:type="dxa"/>
            <w:vAlign w:val="center"/>
            <w:hideMark/>
          </w:tcPr>
          <w:p w14:paraId="012717F3" w14:textId="77777777" w:rsidR="00EE13E5" w:rsidRDefault="00EE13E5" w:rsidP="00EE13E5">
            <w:r w:rsidRPr="00EE13E5">
              <w:t xml:space="preserve">• Opracowanie ekspertyz technicznych nabrzeży </w:t>
            </w:r>
          </w:p>
          <w:p w14:paraId="3511FDBC" w14:textId="77777777" w:rsidR="00EE13E5" w:rsidRDefault="00EE13E5" w:rsidP="00EE13E5">
            <w:r w:rsidRPr="00EE13E5">
              <w:t xml:space="preserve">• Ocena stanu konstrukcji (nad- i podwodnej) </w:t>
            </w:r>
          </w:p>
          <w:p w14:paraId="41C9714C" w14:textId="77777777" w:rsidR="00EE13E5" w:rsidRDefault="00EE13E5" w:rsidP="00EE13E5">
            <w:r w:rsidRPr="00EE13E5">
              <w:t xml:space="preserve">• Identyfikacja uszkodzeń i przyczyn degradacji </w:t>
            </w:r>
          </w:p>
          <w:p w14:paraId="3B46074D" w14:textId="77777777" w:rsidR="00EE13E5" w:rsidRDefault="00EE13E5" w:rsidP="00EE13E5">
            <w:r w:rsidRPr="00EE13E5">
              <w:t xml:space="preserve">• Protokoły okresowych kontroli (zad. 2) </w:t>
            </w:r>
          </w:p>
          <w:p w14:paraId="18243C0D" w14:textId="680C4F2B" w:rsidR="00EE13E5" w:rsidRPr="00EE13E5" w:rsidRDefault="00EE13E5" w:rsidP="00EE13E5">
            <w:r w:rsidRPr="00EE13E5">
              <w:t>• Ocena przydatności obiektów do eksploatacji</w:t>
            </w:r>
          </w:p>
        </w:tc>
        <w:tc>
          <w:tcPr>
            <w:tcW w:w="1554" w:type="dxa"/>
            <w:vAlign w:val="center"/>
            <w:hideMark/>
          </w:tcPr>
          <w:p w14:paraId="412086A7" w14:textId="77777777" w:rsidR="00EE13E5" w:rsidRPr="00EE13E5" w:rsidRDefault="00EE13E5" w:rsidP="00EE13E5">
            <w:pPr>
              <w:jc w:val="center"/>
            </w:pPr>
            <w:r w:rsidRPr="00EE13E5">
              <w:rPr>
                <w:b/>
                <w:bCs/>
              </w:rPr>
              <w:t>20%</w:t>
            </w:r>
          </w:p>
        </w:tc>
        <w:tc>
          <w:tcPr>
            <w:tcW w:w="1412" w:type="dxa"/>
            <w:vAlign w:val="center"/>
            <w:hideMark/>
          </w:tcPr>
          <w:p w14:paraId="17DA9CE5" w14:textId="77777777" w:rsidR="00EE13E5" w:rsidRPr="00EE13E5" w:rsidRDefault="00EE13E5" w:rsidP="00EE13E5">
            <w:r w:rsidRPr="00EE13E5">
              <w:t>Po odbiorze ekspertyz i protokołów kontroli</w:t>
            </w:r>
          </w:p>
        </w:tc>
        <w:tc>
          <w:tcPr>
            <w:tcW w:w="1522" w:type="dxa"/>
            <w:vAlign w:val="center"/>
            <w:hideMark/>
          </w:tcPr>
          <w:p w14:paraId="38C1CA12" w14:textId="77777777" w:rsidR="00EE13E5" w:rsidRPr="00EE13E5" w:rsidRDefault="00EE13E5" w:rsidP="00EE13E5">
            <w:r w:rsidRPr="00EE13E5">
              <w:t>Ekspertyzy techniczne, protokoły kontroli, dokumentacja fotograficzna</w:t>
            </w:r>
          </w:p>
        </w:tc>
      </w:tr>
      <w:tr w:rsidR="00EE13E5" w:rsidRPr="00EE13E5" w14:paraId="659A6D5D" w14:textId="77777777" w:rsidTr="00EE13E5">
        <w:trPr>
          <w:tblCellSpacing w:w="15" w:type="dxa"/>
        </w:trPr>
        <w:tc>
          <w:tcPr>
            <w:tcW w:w="1533" w:type="dxa"/>
            <w:vAlign w:val="center"/>
            <w:hideMark/>
          </w:tcPr>
          <w:p w14:paraId="1329BB13" w14:textId="77777777" w:rsidR="00EE13E5" w:rsidRPr="00EE13E5" w:rsidRDefault="00EE13E5" w:rsidP="00EE13E5">
            <w:r w:rsidRPr="00EE13E5">
              <w:rPr>
                <w:b/>
                <w:bCs/>
              </w:rPr>
              <w:t>3. Analiza nawigacyjna (Zad. 3)</w:t>
            </w:r>
          </w:p>
        </w:tc>
        <w:tc>
          <w:tcPr>
            <w:tcW w:w="4289" w:type="dxa"/>
            <w:vAlign w:val="center"/>
            <w:hideMark/>
          </w:tcPr>
          <w:p w14:paraId="75C65BD4" w14:textId="77777777" w:rsidR="00EE13E5" w:rsidRDefault="00EE13E5" w:rsidP="00EE13E5">
            <w:r w:rsidRPr="00EE13E5">
              <w:t>• Analiza warunków nawigacyjnych nabrzeży</w:t>
            </w:r>
          </w:p>
          <w:p w14:paraId="6D5E0748" w14:textId="77777777" w:rsidR="00EE13E5" w:rsidRDefault="00EE13E5" w:rsidP="00EE13E5">
            <w:r w:rsidRPr="00EE13E5">
              <w:t xml:space="preserve">• Ocena skrajni i warunków manewrowych </w:t>
            </w:r>
          </w:p>
          <w:p w14:paraId="78B495E6" w14:textId="77777777" w:rsidR="00EE13E5" w:rsidRDefault="00EE13E5" w:rsidP="00EE13E5">
            <w:r w:rsidRPr="00EE13E5">
              <w:t xml:space="preserve">• Ocena bezpieczeństwa żeglugi </w:t>
            </w:r>
          </w:p>
          <w:p w14:paraId="42FA7BAE" w14:textId="4B4A33DE" w:rsidR="00EE13E5" w:rsidRPr="00EE13E5" w:rsidRDefault="00EE13E5" w:rsidP="00EE13E5">
            <w:r w:rsidRPr="00EE13E5">
              <w:t>• Uzgodnienia z Urzędem Morskim i Kapitanatem Portu</w:t>
            </w:r>
          </w:p>
        </w:tc>
        <w:tc>
          <w:tcPr>
            <w:tcW w:w="1554" w:type="dxa"/>
            <w:vAlign w:val="center"/>
            <w:hideMark/>
          </w:tcPr>
          <w:p w14:paraId="1E678965" w14:textId="77777777" w:rsidR="00EE13E5" w:rsidRPr="00EE13E5" w:rsidRDefault="00EE13E5" w:rsidP="00EE13E5">
            <w:pPr>
              <w:jc w:val="center"/>
            </w:pPr>
            <w:r w:rsidRPr="00EE13E5">
              <w:rPr>
                <w:b/>
                <w:bCs/>
              </w:rPr>
              <w:t>10%</w:t>
            </w:r>
          </w:p>
        </w:tc>
        <w:tc>
          <w:tcPr>
            <w:tcW w:w="1412" w:type="dxa"/>
            <w:vAlign w:val="center"/>
            <w:hideMark/>
          </w:tcPr>
          <w:p w14:paraId="050EB09A" w14:textId="77777777" w:rsidR="00EE13E5" w:rsidRPr="00EE13E5" w:rsidRDefault="00EE13E5" w:rsidP="00EE13E5">
            <w:r w:rsidRPr="00EE13E5">
              <w:t>Po odbiorze raportu z analizy nawigacyjnej</w:t>
            </w:r>
          </w:p>
        </w:tc>
        <w:tc>
          <w:tcPr>
            <w:tcW w:w="1522" w:type="dxa"/>
            <w:vAlign w:val="center"/>
            <w:hideMark/>
          </w:tcPr>
          <w:p w14:paraId="1F99AD4F" w14:textId="77777777" w:rsidR="00EE13E5" w:rsidRPr="00EE13E5" w:rsidRDefault="00EE13E5" w:rsidP="00EE13E5">
            <w:r w:rsidRPr="00EE13E5">
              <w:t>Raport z analizy nawigacyjnej, wnioski i zalecenia</w:t>
            </w:r>
          </w:p>
        </w:tc>
      </w:tr>
      <w:tr w:rsidR="00EE13E5" w:rsidRPr="00EE13E5" w14:paraId="512EACEC" w14:textId="77777777" w:rsidTr="00EE13E5">
        <w:trPr>
          <w:tblCellSpacing w:w="15" w:type="dxa"/>
        </w:trPr>
        <w:tc>
          <w:tcPr>
            <w:tcW w:w="1533" w:type="dxa"/>
            <w:vAlign w:val="center"/>
            <w:hideMark/>
          </w:tcPr>
          <w:p w14:paraId="7062756E" w14:textId="77777777" w:rsidR="00EE13E5" w:rsidRPr="00EE13E5" w:rsidRDefault="00EE13E5" w:rsidP="00EE13E5">
            <w:r w:rsidRPr="00EE13E5">
              <w:rPr>
                <w:b/>
                <w:bCs/>
              </w:rPr>
              <w:t>4. Programy naprawcze, STWiORB i kosztorysy (Zad. 1)</w:t>
            </w:r>
          </w:p>
        </w:tc>
        <w:tc>
          <w:tcPr>
            <w:tcW w:w="4289" w:type="dxa"/>
            <w:vAlign w:val="center"/>
            <w:hideMark/>
          </w:tcPr>
          <w:p w14:paraId="49E4BBE9" w14:textId="77777777" w:rsidR="00EE13E5" w:rsidRDefault="00EE13E5" w:rsidP="00EE13E5">
            <w:r w:rsidRPr="00EE13E5">
              <w:t xml:space="preserve">• Opracowanie programów naprawczych </w:t>
            </w:r>
          </w:p>
          <w:p w14:paraId="7A628BC7" w14:textId="77777777" w:rsidR="00EE13E5" w:rsidRDefault="00EE13E5" w:rsidP="00EE13E5">
            <w:r w:rsidRPr="00EE13E5">
              <w:t xml:space="preserve">• Określenie technologii robót </w:t>
            </w:r>
          </w:p>
          <w:p w14:paraId="5E435010" w14:textId="77777777" w:rsidR="00EE13E5" w:rsidRDefault="00EE13E5" w:rsidP="00EE13E5">
            <w:r w:rsidRPr="00EE13E5">
              <w:t xml:space="preserve">• Wariantowanie rozwiązań </w:t>
            </w:r>
          </w:p>
          <w:p w14:paraId="196C1A67" w14:textId="77777777" w:rsidR="00EE13E5" w:rsidRDefault="00EE13E5" w:rsidP="00EE13E5">
            <w:r w:rsidRPr="00EE13E5">
              <w:t xml:space="preserve">• STWiORB </w:t>
            </w:r>
          </w:p>
          <w:p w14:paraId="0C3FE557" w14:textId="57635977" w:rsidR="00EE13E5" w:rsidRPr="00EE13E5" w:rsidRDefault="00EE13E5" w:rsidP="00EE13E5">
            <w:r w:rsidRPr="00EE13E5">
              <w:t>• Kosztorysy inwestorskie</w:t>
            </w:r>
          </w:p>
        </w:tc>
        <w:tc>
          <w:tcPr>
            <w:tcW w:w="1554" w:type="dxa"/>
            <w:vAlign w:val="center"/>
            <w:hideMark/>
          </w:tcPr>
          <w:p w14:paraId="0A4DEF22" w14:textId="77777777" w:rsidR="00EE13E5" w:rsidRPr="00EE13E5" w:rsidRDefault="00EE13E5" w:rsidP="00EE13E5">
            <w:pPr>
              <w:jc w:val="center"/>
            </w:pPr>
            <w:r w:rsidRPr="00EE13E5">
              <w:rPr>
                <w:b/>
                <w:bCs/>
              </w:rPr>
              <w:t>40%</w:t>
            </w:r>
          </w:p>
        </w:tc>
        <w:tc>
          <w:tcPr>
            <w:tcW w:w="1412" w:type="dxa"/>
            <w:vAlign w:val="center"/>
            <w:hideMark/>
          </w:tcPr>
          <w:p w14:paraId="6ADBAB7D" w14:textId="77777777" w:rsidR="00EE13E5" w:rsidRPr="00EE13E5" w:rsidRDefault="00EE13E5" w:rsidP="00EE13E5">
            <w:r w:rsidRPr="00EE13E5">
              <w:t>Po odbiorze kompletnej dokumentacji programowo–kosztowej</w:t>
            </w:r>
          </w:p>
        </w:tc>
        <w:tc>
          <w:tcPr>
            <w:tcW w:w="1522" w:type="dxa"/>
            <w:vAlign w:val="center"/>
            <w:hideMark/>
          </w:tcPr>
          <w:p w14:paraId="084EC6D6" w14:textId="77777777" w:rsidR="00EE13E5" w:rsidRPr="00EE13E5" w:rsidRDefault="00EE13E5" w:rsidP="00EE13E5">
            <w:r w:rsidRPr="00EE13E5">
              <w:t>Programy naprawcze, STWiORB, kosztorysy inwestorskie</w:t>
            </w:r>
          </w:p>
        </w:tc>
      </w:tr>
      <w:tr w:rsidR="00EE13E5" w:rsidRPr="00EE13E5" w14:paraId="6448FBBD" w14:textId="77777777" w:rsidTr="00EE13E5">
        <w:trPr>
          <w:tblCellSpacing w:w="15" w:type="dxa"/>
        </w:trPr>
        <w:tc>
          <w:tcPr>
            <w:tcW w:w="1533" w:type="dxa"/>
            <w:vAlign w:val="center"/>
            <w:hideMark/>
          </w:tcPr>
          <w:p w14:paraId="06ACC7E2" w14:textId="77777777" w:rsidR="00EE13E5" w:rsidRPr="00EE13E5" w:rsidRDefault="00EE13E5" w:rsidP="00EE13E5">
            <w:r w:rsidRPr="00EE13E5">
              <w:rPr>
                <w:b/>
                <w:bCs/>
              </w:rPr>
              <w:t>5. Opracowanie końcowe i integracja dokumentacji</w:t>
            </w:r>
          </w:p>
        </w:tc>
        <w:tc>
          <w:tcPr>
            <w:tcW w:w="4289" w:type="dxa"/>
            <w:vAlign w:val="center"/>
            <w:hideMark/>
          </w:tcPr>
          <w:p w14:paraId="4C0A4C6D" w14:textId="77777777" w:rsidR="00EE13E5" w:rsidRDefault="00EE13E5" w:rsidP="00EE13E5">
            <w:r w:rsidRPr="00EE13E5">
              <w:t xml:space="preserve">• Scalenie dokumentacji wszystkich branż </w:t>
            </w:r>
          </w:p>
          <w:p w14:paraId="49A1935B" w14:textId="77777777" w:rsidR="00EE13E5" w:rsidRDefault="00EE13E5" w:rsidP="00EE13E5">
            <w:r w:rsidRPr="00EE13E5">
              <w:t xml:space="preserve">• Weryfikacja spójności opracowań </w:t>
            </w:r>
          </w:p>
          <w:p w14:paraId="262FBC09" w14:textId="77777777" w:rsidR="00EE13E5" w:rsidRDefault="00EE13E5" w:rsidP="00EE13E5">
            <w:r w:rsidRPr="00EE13E5">
              <w:t xml:space="preserve">• Korekta techniczna i redakcyjna </w:t>
            </w:r>
          </w:p>
          <w:p w14:paraId="2D7CDD07" w14:textId="569ED3C9" w:rsidR="00EE13E5" w:rsidRPr="00EE13E5" w:rsidRDefault="00EE13E5" w:rsidP="00EE13E5">
            <w:r w:rsidRPr="00EE13E5">
              <w:t>• Przygotowanie wersji finalnej</w:t>
            </w:r>
          </w:p>
        </w:tc>
        <w:tc>
          <w:tcPr>
            <w:tcW w:w="1554" w:type="dxa"/>
            <w:vAlign w:val="center"/>
            <w:hideMark/>
          </w:tcPr>
          <w:p w14:paraId="2A382AAA" w14:textId="77777777" w:rsidR="00EE13E5" w:rsidRPr="00EE13E5" w:rsidRDefault="00EE13E5" w:rsidP="00EE13E5">
            <w:pPr>
              <w:jc w:val="center"/>
            </w:pPr>
            <w:r w:rsidRPr="00EE13E5">
              <w:rPr>
                <w:b/>
                <w:bCs/>
              </w:rPr>
              <w:t>5%</w:t>
            </w:r>
          </w:p>
        </w:tc>
        <w:tc>
          <w:tcPr>
            <w:tcW w:w="1412" w:type="dxa"/>
            <w:vAlign w:val="center"/>
            <w:hideMark/>
          </w:tcPr>
          <w:p w14:paraId="47C97C6C" w14:textId="77777777" w:rsidR="00EE13E5" w:rsidRPr="00EE13E5" w:rsidRDefault="00EE13E5" w:rsidP="00EE13E5">
            <w:r w:rsidRPr="00EE13E5">
              <w:t>Po przekazaniu kompletnej dokumentacji</w:t>
            </w:r>
          </w:p>
        </w:tc>
        <w:tc>
          <w:tcPr>
            <w:tcW w:w="1522" w:type="dxa"/>
            <w:vAlign w:val="center"/>
            <w:hideMark/>
          </w:tcPr>
          <w:p w14:paraId="17B70BB6" w14:textId="77777777" w:rsidR="00EE13E5" w:rsidRPr="00EE13E5" w:rsidRDefault="00EE13E5" w:rsidP="00EE13E5">
            <w:r w:rsidRPr="00EE13E5">
              <w:t xml:space="preserve">Kompletna dokumentacja </w:t>
            </w:r>
            <w:proofErr w:type="spellStart"/>
            <w:r w:rsidRPr="00EE13E5">
              <w:t>diagnostyczno</w:t>
            </w:r>
            <w:proofErr w:type="spellEnd"/>
            <w:r w:rsidRPr="00EE13E5">
              <w:t>–naprawcza (wersja finalna)</w:t>
            </w:r>
          </w:p>
        </w:tc>
      </w:tr>
    </w:tbl>
    <w:p w14:paraId="7364F43F" w14:textId="77777777" w:rsidR="00236583" w:rsidRDefault="00236583"/>
    <w:sectPr w:rsidR="00236583" w:rsidSect="00A075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70179" w14:textId="77777777" w:rsidR="00A31551" w:rsidRDefault="00A31551" w:rsidP="00B25F65">
      <w:pPr>
        <w:spacing w:after="0" w:line="240" w:lineRule="auto"/>
      </w:pPr>
      <w:r>
        <w:separator/>
      </w:r>
    </w:p>
  </w:endnote>
  <w:endnote w:type="continuationSeparator" w:id="0">
    <w:p w14:paraId="1369ECCC" w14:textId="77777777" w:rsidR="00A31551" w:rsidRDefault="00A31551" w:rsidP="00B25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AEEF" w14:textId="77777777" w:rsidR="00765C1A" w:rsidRDefault="00765C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6690C" w14:textId="77777777" w:rsidR="00765C1A" w:rsidRDefault="00765C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BF0F6" w14:textId="77777777" w:rsidR="00765C1A" w:rsidRDefault="00765C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49C21" w14:textId="77777777" w:rsidR="00A31551" w:rsidRDefault="00A31551" w:rsidP="00B25F65">
      <w:pPr>
        <w:spacing w:after="0" w:line="240" w:lineRule="auto"/>
      </w:pPr>
      <w:r>
        <w:separator/>
      </w:r>
    </w:p>
  </w:footnote>
  <w:footnote w:type="continuationSeparator" w:id="0">
    <w:p w14:paraId="618460DB" w14:textId="77777777" w:rsidR="00A31551" w:rsidRDefault="00A31551" w:rsidP="00B25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86420" w14:textId="77777777" w:rsidR="00765C1A" w:rsidRDefault="00765C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285A6" w14:textId="12027D4D" w:rsidR="00B25F65" w:rsidRDefault="00B25F65" w:rsidP="00B25F65">
    <w:pPr>
      <w:pStyle w:val="Nagwek"/>
      <w:jc w:val="right"/>
    </w:pPr>
    <w:r>
      <w:t xml:space="preserve">Załącznik nr </w:t>
    </w:r>
    <w:r w:rsidR="00765C1A">
      <w:t>1.</w:t>
    </w:r>
    <w:r w:rsidR="00A0752F">
      <w:t>3</w:t>
    </w:r>
    <w:r>
      <w:t xml:space="preserve"> – proponowane etapy realizacji i rozliczenia</w:t>
    </w:r>
  </w:p>
  <w:p w14:paraId="727B7B80" w14:textId="77777777" w:rsidR="00B25F65" w:rsidRDefault="00B25F6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9B07C" w14:textId="77777777" w:rsidR="00765C1A" w:rsidRDefault="00765C1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F65"/>
    <w:rsid w:val="0010563D"/>
    <w:rsid w:val="00236583"/>
    <w:rsid w:val="00290314"/>
    <w:rsid w:val="003A7062"/>
    <w:rsid w:val="00765C1A"/>
    <w:rsid w:val="00A0752F"/>
    <w:rsid w:val="00A31551"/>
    <w:rsid w:val="00B07AB6"/>
    <w:rsid w:val="00B25F65"/>
    <w:rsid w:val="00BF47CB"/>
    <w:rsid w:val="00C57C99"/>
    <w:rsid w:val="00EE13E5"/>
    <w:rsid w:val="00F66E7C"/>
    <w:rsid w:val="00F7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DCF1"/>
  <w15:chartTrackingRefBased/>
  <w15:docId w15:val="{91D20F0D-8436-48B3-8222-ED7F8E634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5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5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5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5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5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5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5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5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5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5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5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5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5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5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5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5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5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5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5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5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5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5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5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5F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5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5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5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5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5F6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25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F65"/>
  </w:style>
  <w:style w:type="paragraph" w:styleId="Stopka">
    <w:name w:val="footer"/>
    <w:basedOn w:val="Normalny"/>
    <w:link w:val="StopkaZnak"/>
    <w:uiPriority w:val="99"/>
    <w:unhideWhenUsed/>
    <w:rsid w:val="00B25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260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zdmiz zegluga</dc:creator>
  <cp:keywords/>
  <dc:description/>
  <cp:lastModifiedBy>zdmiz zegluga</cp:lastModifiedBy>
  <cp:revision>4</cp:revision>
  <dcterms:created xsi:type="dcterms:W3CDTF">2026-02-23T12:51:00Z</dcterms:created>
  <dcterms:modified xsi:type="dcterms:W3CDTF">2026-04-28T08:47:00Z</dcterms:modified>
</cp:coreProperties>
</file>